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ZK 2015 614 vom 23. März 2016</w:t>
      </w:r>
    </w:p>
    <w:p>
      <w:r>
        <w:t>BE Obergericht, 2016-03-23, DE</w:t>
      </w:r>
    </w:p>
    <w:p>
      <w:r>
        <w:rPr>
          <w:b/>
        </w:rPr>
        <w:t xml:space="preserve">Quelle: </w:t>
      </w:r>
      <w:r>
        <w:t>https://mcp.opencaselaw.ch/entscheid/be_zivilstraf_ZK 2015 614</w:t>
      </w:r>
    </w:p>
    <w:p>
      <w:r>
        <w:t>FR: BE_ZIVILSTRAF ZK 2015 614 du 23 mars 2016</w:t>
      </w:r>
    </w:p>
    <w:p>
      <w:r>
        <w:t>IT: BE_ZIVILSTRAF ZK 2015 614 del 23 marzo 2016</w:t>
      </w:r>
    </w:p>
    <w:p>
      <w:pPr>
        <w:pStyle w:val="Heading2"/>
      </w:pPr>
      <w:r>
        <w:t>Regeste</w:t>
      </w:r>
    </w:p>
    <w:p>
      <w:r>
        <w:t>Streitwert bei arbeitsrechtlichen Lohnforderungen; Nichteintreten zufolge Ergreifens des falschen Rechtsmittels. Bestätigung der Rechtsprechung, wonach eine Konversion abzulehnen ist | Arbeitsrecht</w:t>
      </w:r>
    </w:p>
    <w:p>
      <w:pPr>
        <w:pStyle w:val="Heading2"/>
      </w:pPr>
      <w:r>
        <w:t>Erwägungen</w:t>
      </w:r>
    </w:p>
    <w:p>
      <w:r>
        <w:rPr>
          <w:b/>
        </w:rPr>
        <w:t>E. 9</w:t>
      </w:r>
    </w:p>
    <w:p>
      <w:r>
        <w:t>Der Kläger schloss in seiner Beschwerdeantwort vom 28. Januar 2016 auf Nicht- eintreten, eventuell Abweisung der Beschwerde. Er macht namentlich geltend, die Beschwerde sei das falsche Rechtsmittel. Im Uebrigen hält er den angefoch- tenen Entscheid für korrekt.</w:t>
      </w:r>
    </w:p>
    <w:p>
      <w:r>
        <w:rPr>
          <w:b/>
        </w:rPr>
        <w:t>E. 10</w:t>
      </w:r>
    </w:p>
    <w:p>
      <w:r>
        <w:t>Der Beklagte hat bewusst das Rechtsmittel der Beschwerde gewählt, obwohl der Entscheid gemäss vorrichterlicher Rechtmittelbelehrung mit Berufung anzufechten gewesen wäre. Er vertritt die Auffassung, die vorinstanzliche Rechtsmittelbelehrung sei unzutreffend, zumal sich der Streitwert des zuletzt aufrechterhaltenen Rechtsbegehrens auf Fr. 9'803.65 belaufe. Bei arbeitsrechtlichen Lohnforderungen bestimmt sich der Streitwert nach dem Bruttolohn, ohne Arbeitgeberbeiträge (vgl. Entscheid des Kassationsgerichts Zürich AA090054 vom 13. Mai 2009 E 5 und die dort zitierte Literatur [noch zu aArt. 343 OR], DIGGELMANN, DIKE-Kommentar, N 47 ff zu Art. 91 ZPO, unter Hinweis auf den Umstand, dass bei Lohnforderungen die Grenzen für die Berufung und die Beschwerde in Zivilsachen häufig eine Rolle spielen; RÜEGG, BSK-ZPO, N 4 zu Art. 91 ZPO; DONZALLAZ, Loi sur le Tribunal fédéral, Commentaire, N 1475 zu Art. 51 BGG). Dabei ist unerheblich in welcher Form der Lohn eingeklagt wurde. Auch ein zugesprochener Nettolohn löst Zahlungspflichten des Arbeitgebers an die Sozialversicherungen aus. Hier liegt ein Nettolohn-Guthaben von Fr. 9'787.40 im Streit. Bereits die Hinzu- rechnung der gängigen Arbeitnehmerbeiträge für AHV/IV/EO/ALV (rund 7%) führt dazu, dass der Streitwert über Fr. 10'000.-- zu liegen kommt. Es kann daher of- fenblieben, ob der Beklagte allenfalls noch weitere Arbeitnehmerbeiträge zu leis- ten hat. Diese Betrachtungsweise hat zur Folge, dass der Streitwert auf jeden Fall Fr. 10'000.-- übersteigt. Der vorinstanzliche Entscheid hätte mit Berufung angefochten werden müssen.</w:t>
      </w:r>
    </w:p>
    <w:p>
      <w:r>
        <w:rPr>
          <w:b/>
        </w:rPr>
        <w:t>E. 11</w:t>
      </w:r>
    </w:p>
    <w:p>
      <w:r>
        <w:t>Es stellt sich deshalb die Frage, ob die Eingabe des Beklagten dennoch als Berufung zu behandeln ist (Konversion). Nach der im Internet publizierten Praxis</w:t>
      </w:r>
    </w:p>
    <w:p>
      <w:r>
        <w:t>des Obergerichts des Kantons Bern ist eine Konversion grundsätzlich abzulehnen und nur ausnahmsweise zuzulassen (vgl. www.justice.be.ch &gt; Rechtsprechung; Entscheid ZK 14 389 der 1. Zivilkammer vom 27. Januar 2015 bzw. der dort erwähnte Entscheid ZK 13 85 der 2. Zivilkammer vom 20. August 2013). Im vorliegenden Fall rechtfertigt sich keine Ausnahme. Die Rechtsmittelbelehrung der Vorinstanz war korrekt. Es handelte sich auch nicht um eine falsche Bezeichnung des Rechtsmittels, sondern um eine Fehlüberlegung der das Rechtsmittel einlegenden Partei in Bezug auf den Streitwert.</w:t>
      </w:r>
    </w:p>
    <w:p>
      <w:r>
        <w:rPr>
          <w:b/>
        </w:rPr>
        <w:t>E. 12</w:t>
      </w:r>
    </w:p>
    <w:p>
      <w:r>
        <w:t>Mit Blick auf die erörterte Praxis des Obergerichts des Kantons Bern ist auf die Beschwerde nicht einzutreten.</w:t>
      </w:r>
    </w:p>
    <w:p>
      <w:r>
        <w:rPr>
          <w:b/>
        </w:rPr>
        <w:t>E. 13</w:t>
      </w:r>
    </w:p>
    <w:p>
      <w:r>
        <w:t>Der Vollständigkeit halber sei dennoch kursorisch begründet, warum der Beschwerde auch im Falle eines Eintretens kein Erfolg beschieden gewesen wäre:</w:t>
      </w:r>
    </w:p>
    <w:p>
      <w:r>
        <w:rPr>
          <w:b/>
        </w:rPr>
        <w:t>E. 14</w:t>
      </w:r>
    </w:p>
    <w:p>
      <w:r>
        <w:t>In prozessualer Hinsicht soll die Vorinstanz Art. 59 ZPO und Art. 65 ZPO falsch angewendet haben. Der Beklagte stellt sich im Wesentlichen auf den Standpunkt, der Klagerückzug vom 29. Oktober 2013 müsse einem Abstand gleichgestellt werden und führe zum Verlust des materiellen Anspruchs. Die prozessualen Einwände des Beklagten sind nicht stichhaltig:</w:t>
      </w:r>
    </w:p>
    <w:p>
      <w:r>
        <w:rPr>
          <w:b/>
        </w:rPr>
        <w:t>E. 15</w:t>
      </w:r>
    </w:p>
    <w:p>
      <w:r>
        <w:t>Ein Klagerückzug "angebrachtermassen" bedeutet in Anlehnung an den Wortlaut des aufgehobenen Art. 139 OR, dass eine Klage unter Vorbehalt der Wiedereinreichung zurückgezogen wird. Das ist in jenen Fällen möglich, in denen es an einer Prozessvoraussetzung (Art. 59 ZPO) fehlt (ähnlich Art. 73 Abs. 3 BZP), so dass die Klage mittels Nichteintretensentscheid zurückgewiesen werden müsste. Art. 63 ZPO normiert den Sonderfall des Klagerückzuges mangels Zuständigkeit und bei falscher Verfahrensart, wobei der Kläger dieselbe Klage innert einer Verwirkungsfrist von einem Monat bei der zuständigen Schlichtungsbehörde oder beim zuständigen Gericht neu einzureichen hat. Die Begründetheit der Klage wird bei fehlenden Prozessvoraussetzungen nicht geprüft, sodass diesbezüglich keine Rechtskraftwirkung eintreten kann (es liegt lediglich sog. prozessanspruchsbezogene materielle Rechtskraft im Gegensatz zur sachanspruchsbezogenen materiellen Rechtskraft vor). Es wäre stossend, wenn bei einem ebenfalls wegen fehlender Prozessvoraussetzungen erfolgten Klagerückzug eine Neueinreichung ausgeschlossen wäre. Ferner ist ein frühzeitiger Klagerückzug bei fehlenden Prozessvoraussetzungen auch prozessökonomisch wünschenswert. Ob ein Klagerückzug "angebrachtermassen" tatsächlich möglich gewesen ist, wird allerdings erst vom späteren Gericht, bei dem die Klage wieder eingereicht wird, geprüft. Verneint es die Voraussetzungen eines Klagerückzuges "angebrachtermassen", so bewirkt der Klagerückzug doch Rechtsverlust und auf die neue Klage wird zufolge "res iudicata" nicht eingetreten. Der Kläger trägt das Risiko, dass seine</w:t>
      </w:r>
    </w:p>
    <w:p>
      <w:r>
        <w:t>"angebrachtermassen" zurückgezogene Klage sich später als normale Rückzugserklärung erweist. Der Klagerückzug "angebrachtermassen" ist demnach kein Mittel, um den Folgen der Eventualmaxime zu entgehen (zum Ganzen ausführlich LEUMANN LIEBSTER in: SUTTER- SOMM/HASENBÖHLER/LEUENBERGER [Hrsg.], Schulthess-Kommentar zu ZPO, Zürich u.a. 2016, N 18 zu Art. 241 ZPO).</w:t>
      </w:r>
    </w:p>
    <w:p>
      <w:r>
        <w:rPr>
          <w:b/>
        </w:rPr>
        <w:t>E. 16</w:t>
      </w:r>
    </w:p>
    <w:p>
      <w:r>
        <w:t>Wie diese Ausführungen zeigen, ist ein Rückzug ohne Abstandsfolge nicht nur unter dem Regime von Art. 63 ZPO sondern generell beim Fehlen einer Prozessvoraussetzung möglich, sofern im Verfahren über die (erste) Klage im Urteilsfall ein Nichteintretensentscheid ergangen wäre. Diese Voraussetzung war im ersten Verfahren (CIV 13 4710) klarerweise erfüllt und ein Rückzug "angebrachtermassen" somit statthaft. Anders entscheiden würde zu prozessualem Leerlauf führen. Um ihren materiellen Anspruch nicht zu verlieren, müsste die Klägerschaft stets ein Prozessurteil provozieren bzw. abwarten. Das macht prozessökonomisch keinen Sinn. Entgegen den Ausführungen in der Beschwerde stellt diese Ansicht zu den Wirkungen des Klagerückzugs auch nicht die singuläre Meinung von BERGER- STEINER im Berner Kommentar dar. In der bereits erwähnten Schulthess- Kommentierung wird der Rückzug "angebrachtermassen" im Zusammenhang mit Art. 65 ZPO zwar nur rudimentär erörtert (SUTTER-SOMM/HEDINGER, a.a.O., N 15 zu Art. 65 ZPO). Die oben referierten Ausführungen finden sich aber unter Art. 241 ZPO und decken sich weitgehend mit der Ansicht von BERGER-STEINER zu Art. 65 ZPO. Die Vorinstanz folgte deshalb nicht irgendeiner vernachlässigbaren Minderheitsmeinung, so dass ein Verstoss gegen Art. 65 ZPO nicht auszumachen ist.</w:t>
      </w:r>
    </w:p>
    <w:p>
      <w:r>
        <w:rPr>
          <w:b/>
        </w:rPr>
        <w:t>E. 17</w:t>
      </w:r>
    </w:p>
    <w:p>
      <w:r>
        <w:t>Falsch liegt der Beklagte auch, wenn er behauptet, der zweiten Klage stehe die "anderweitige Rechtshängigkeit" im Sinne von Art. 59 Abs. 2 lit. d ZPO entgegen. Es mag sein, dass im Zeitpunkt des Absendens des zweiten Schlichtungsgesuches (29. Oktober 2013) das erste Verfahren noch rechtshängig war, weil der Rückzug erst mit dem Eintreffen beim Gericht (30. Oktober 2013) wirksam wurde. Für die Beurteilung der Prozessvoraussetzungen ist allerdings der Zeitpunkt des Entscheides massgeblich (GASSER/RICKLI, Kurzkommentar zur ZPO, N 4 zu Art. 59 ZPO). In diesem Zeitpunkt war das erste Verfahren aber längst abgeschrieben, so dass Art. 59 Abs. 2 lit. d ZPO dem neu angehobenen Verfahren nicht entgegenstand. (…) Hinweis: Der Entscheid ist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